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Sahale Outdoors</w:t>
        <w:br/>
        <w:t>Annual Organizational Budget</w:t>
        <w:br/>
        <w:t>FY 2027</w:t>
      </w:r>
    </w:p>
    <w:p>
      <w:r>
        <w:rPr>
          <w:b/>
        </w:rPr>
        <w:t xml:space="preserve">Total Annual Organizational Budget: </w:t>
      </w:r>
      <w:r>
        <w:t>$210,000</w:t>
        <w:br/>
      </w:r>
      <w:r>
        <w:rPr>
          <w:b/>
        </w:rPr>
        <w:t xml:space="preserve">Grant Request: </w:t>
      </w:r>
      <w:r>
        <w:t>$5,000 (Inukai Family Foundation)</w:t>
        <w:br/>
      </w:r>
      <w:r>
        <w:rPr>
          <w:b/>
        </w:rPr>
        <w:t xml:space="preserve">Program: </w:t>
      </w:r>
      <w:r>
        <w:t>Nature Art Studio</w:t>
      </w:r>
    </w:p>
    <w:p>
      <w:pPr>
        <w:pStyle w:val="Heading2"/>
      </w:pPr>
      <w:r>
        <w:t>Annual Operating Budget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Category</w:t>
            </w:r>
          </w:p>
        </w:tc>
        <w:tc>
          <w:tcPr>
            <w:tcW w:type="dxa" w:w="2880"/>
          </w:tcPr>
          <w:p>
            <w:r>
              <w:t>Annual Budget</w:t>
            </w:r>
          </w:p>
        </w:tc>
        <w:tc>
          <w:tcPr>
            <w:tcW w:type="dxa" w:w="2880"/>
          </w:tcPr>
          <w:p>
            <w:r>
              <w:t>% of Budget</w:t>
            </w:r>
          </w:p>
        </w:tc>
      </w:tr>
      <w:tr>
        <w:tc>
          <w:tcPr>
            <w:tcW w:type="dxa" w:w="2880"/>
          </w:tcPr>
          <w:p>
            <w:r>
              <w:t>Program Personnel</w:t>
            </w:r>
          </w:p>
        </w:tc>
        <w:tc>
          <w:tcPr>
            <w:tcW w:type="dxa" w:w="2880"/>
          </w:tcPr>
          <w:p>
            <w:r>
              <w:t>$105,000</w:t>
            </w:r>
          </w:p>
        </w:tc>
        <w:tc>
          <w:tcPr>
            <w:tcW w:type="dxa" w:w="2880"/>
          </w:tcPr>
          <w:p>
            <w:r>
              <w:t>50%</w:t>
            </w:r>
          </w:p>
        </w:tc>
      </w:tr>
      <w:tr>
        <w:tc>
          <w:tcPr>
            <w:tcW w:type="dxa" w:w="2880"/>
          </w:tcPr>
          <w:p>
            <w:r>
              <w:t>Program Supplies &amp; Materials</w:t>
            </w:r>
          </w:p>
        </w:tc>
        <w:tc>
          <w:tcPr>
            <w:tcW w:type="dxa" w:w="2880"/>
          </w:tcPr>
          <w:p>
            <w:r>
              <w:t>$20,000</w:t>
            </w:r>
          </w:p>
        </w:tc>
        <w:tc>
          <w:tcPr>
            <w:tcW w:type="dxa" w:w="2880"/>
          </w:tcPr>
          <w:p>
            <w:r>
              <w:t>9.5%</w:t>
            </w:r>
          </w:p>
        </w:tc>
      </w:tr>
      <w:tr>
        <w:tc>
          <w:tcPr>
            <w:tcW w:type="dxa" w:w="2880"/>
          </w:tcPr>
          <w:p>
            <w:r>
              <w:t>Facility Rent &amp; Utilities</w:t>
            </w:r>
          </w:p>
        </w:tc>
        <w:tc>
          <w:tcPr>
            <w:tcW w:type="dxa" w:w="2880"/>
          </w:tcPr>
          <w:p>
            <w:r>
              <w:t>$18,500</w:t>
            </w:r>
          </w:p>
        </w:tc>
        <w:tc>
          <w:tcPr>
            <w:tcW w:type="dxa" w:w="2880"/>
          </w:tcPr>
          <w:p>
            <w:r>
              <w:t>8.8%</w:t>
            </w:r>
          </w:p>
        </w:tc>
      </w:tr>
      <w:tr>
        <w:tc>
          <w:tcPr>
            <w:tcW w:type="dxa" w:w="2880"/>
          </w:tcPr>
          <w:p>
            <w:r>
              <w:t>Transportation</w:t>
            </w:r>
          </w:p>
        </w:tc>
        <w:tc>
          <w:tcPr>
            <w:tcW w:type="dxa" w:w="2880"/>
          </w:tcPr>
          <w:p>
            <w:r>
              <w:t>$10,500</w:t>
            </w:r>
          </w:p>
        </w:tc>
        <w:tc>
          <w:tcPr>
            <w:tcW w:type="dxa" w:w="2880"/>
          </w:tcPr>
          <w:p>
            <w:r>
              <w:t>5.0%</w:t>
            </w:r>
          </w:p>
        </w:tc>
      </w:tr>
      <w:tr>
        <w:tc>
          <w:tcPr>
            <w:tcW w:type="dxa" w:w="2880"/>
          </w:tcPr>
          <w:p>
            <w:r>
              <w:t>Insurance</w:t>
            </w:r>
          </w:p>
        </w:tc>
        <w:tc>
          <w:tcPr>
            <w:tcW w:type="dxa" w:w="2880"/>
          </w:tcPr>
          <w:p>
            <w:r>
              <w:t>$8,100</w:t>
            </w:r>
          </w:p>
        </w:tc>
        <w:tc>
          <w:tcPr>
            <w:tcW w:type="dxa" w:w="2880"/>
          </w:tcPr>
          <w:p>
            <w:r>
              <w:t>3.9%</w:t>
            </w:r>
          </w:p>
        </w:tc>
      </w:tr>
      <w:tr>
        <w:tc>
          <w:tcPr>
            <w:tcW w:type="dxa" w:w="2880"/>
          </w:tcPr>
          <w:p>
            <w:r>
              <w:t>Professional Services</w:t>
            </w:r>
          </w:p>
        </w:tc>
        <w:tc>
          <w:tcPr>
            <w:tcW w:type="dxa" w:w="2880"/>
          </w:tcPr>
          <w:p>
            <w:r>
              <w:t>$8,900</w:t>
            </w:r>
          </w:p>
        </w:tc>
        <w:tc>
          <w:tcPr>
            <w:tcW w:type="dxa" w:w="2880"/>
          </w:tcPr>
          <w:p>
            <w:r>
              <w:t>4.2%</w:t>
            </w:r>
          </w:p>
        </w:tc>
      </w:tr>
      <w:tr>
        <w:tc>
          <w:tcPr>
            <w:tcW w:type="dxa" w:w="2880"/>
          </w:tcPr>
          <w:p>
            <w:r>
              <w:t>Administrative &amp; Office</w:t>
            </w:r>
          </w:p>
        </w:tc>
        <w:tc>
          <w:tcPr>
            <w:tcW w:type="dxa" w:w="2880"/>
          </w:tcPr>
          <w:p>
            <w:r>
              <w:t>$15,000</w:t>
            </w:r>
          </w:p>
        </w:tc>
        <w:tc>
          <w:tcPr>
            <w:tcW w:type="dxa" w:w="2880"/>
          </w:tcPr>
          <w:p>
            <w:r>
              <w:t>7.1%</w:t>
            </w:r>
          </w:p>
        </w:tc>
      </w:tr>
      <w:tr>
        <w:tc>
          <w:tcPr>
            <w:tcW w:type="dxa" w:w="2880"/>
          </w:tcPr>
          <w:p>
            <w:r>
              <w:t>Fundraising &amp; Marketing</w:t>
            </w:r>
          </w:p>
        </w:tc>
        <w:tc>
          <w:tcPr>
            <w:tcW w:type="dxa" w:w="2880"/>
          </w:tcPr>
          <w:p>
            <w:r>
              <w:t>$9,000</w:t>
            </w:r>
          </w:p>
        </w:tc>
        <w:tc>
          <w:tcPr>
            <w:tcW w:type="dxa" w:w="2880"/>
          </w:tcPr>
          <w:p>
            <w:r>
              <w:t>4.3%</w:t>
            </w:r>
          </w:p>
        </w:tc>
      </w:tr>
      <w:tr>
        <w:tc>
          <w:tcPr>
            <w:tcW w:type="dxa" w:w="2880"/>
          </w:tcPr>
          <w:p>
            <w:r>
              <w:t>Other Program Costs</w:t>
            </w:r>
          </w:p>
        </w:tc>
        <w:tc>
          <w:tcPr>
            <w:tcW w:type="dxa" w:w="2880"/>
          </w:tcPr>
          <w:p>
            <w:r>
              <w:t>$15,000</w:t>
            </w:r>
          </w:p>
        </w:tc>
        <w:tc>
          <w:tcPr>
            <w:tcW w:type="dxa" w:w="2880"/>
          </w:tcPr>
          <w:p>
            <w:r>
              <w:t>7.2%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>
            <w:r>
              <w:t>$210,000</w:t>
            </w:r>
          </w:p>
        </w:tc>
        <w:tc>
          <w:tcPr>
            <w:tcW w:type="dxa" w:w="2880"/>
          </w:tcPr>
          <w:p>
            <w:r>
              <w:t>100%</w:t>
            </w:r>
          </w:p>
        </w:tc>
      </w:tr>
    </w:tbl>
    <w:p>
      <w:pPr>
        <w:pStyle w:val="Heading2"/>
      </w:pPr>
      <w:r>
        <w:t>Funding for Nature Art Studio</w:t>
      </w:r>
    </w:p>
    <w:p>
      <w:r>
        <w:t>- Names Family Foundation (Secured): $10,000</w:t>
        <w:br/>
        <w:t>- Baker Foundation (Pending/Secured as applicable): $5,000</w:t>
        <w:br/>
        <w:t>- Inukai Family Foundation (Request): $5,000</w:t>
        <w:br/>
        <w:t>- Remaining support: Individual donations, program fees, and additional grants.</w:t>
      </w:r>
    </w:p>
    <w:p>
      <w:pPr>
        <w:pStyle w:val="Heading2"/>
      </w:pPr>
      <w:r>
        <w:t>Use of Inukai Family Foundation Funds</w:t>
      </w:r>
    </w:p>
    <w:p>
      <w:r>
        <w:t>The requested $5,000 will be used for scholarships, art supplies, nature education materials, and hands-on learning resources for children participating in the Sahale Nature Art Studio.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